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28738" cy="816994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816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orbel" w:cs="Corbel" w:eastAsia="Corbel" w:hAnsi="Corbel"/>
          <w:b w:val="1"/>
          <w:sz w:val="28"/>
          <w:szCs w:val="2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Kinnitatud 23.04.2024 </w:t>
      </w:r>
    </w:p>
    <w:p w:rsidR="00000000" w:rsidDel="00000000" w:rsidP="00000000" w:rsidRDefault="00000000" w:rsidRPr="00000000" w14:paraId="00000002">
      <w:pPr>
        <w:spacing w:before="16" w:line="276" w:lineRule="auto"/>
        <w:ind w:left="43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kutsekomisjoni otsusega nr 14</w:t>
      </w:r>
    </w:p>
    <w:p w:rsidR="00000000" w:rsidDel="00000000" w:rsidP="00000000" w:rsidRDefault="00000000" w:rsidRPr="00000000" w14:paraId="00000003">
      <w:pPr>
        <w:spacing w:before="16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LISA 6. ESITATUD KLIENDIJUHTUMI ANALÜÜS</w:t>
      </w:r>
    </w:p>
    <w:p w:rsidR="00000000" w:rsidDel="00000000" w:rsidP="00000000" w:rsidRDefault="00000000" w:rsidRPr="00000000" w14:paraId="00000008">
      <w:pPr>
        <w:pStyle w:val="Heading2"/>
        <w:spacing w:after="0" w:before="0" w:line="276" w:lineRule="auto"/>
        <w:ind w:left="-566.929133858267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0" w:before="0" w:line="276" w:lineRule="auto"/>
        <w:ind w:left="-566.9291338582677" w:firstLine="0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ANDMED TAOTLEJA KOHTA </w:t>
      </w:r>
    </w:p>
    <w:p w:rsidR="00000000" w:rsidDel="00000000" w:rsidP="00000000" w:rsidRDefault="00000000" w:rsidRPr="00000000" w14:paraId="0000000A">
      <w:pPr>
        <w:spacing w:after="160" w:line="259" w:lineRule="auto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6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435"/>
        <w:gridCol w:w="4350"/>
        <w:tblGridChange w:id="0">
          <w:tblGrid>
            <w:gridCol w:w="2610"/>
            <w:gridCol w:w="3435"/>
            <w:gridCol w:w="43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right="-10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right="-10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Toitumisnõustaja, tase 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ind w:right="-10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Toitumisterapeut, tase 6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right="-10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Ees- ja perekonnanimi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1"/>
        <w:spacing w:line="276" w:lineRule="auto"/>
        <w:ind w:left="-566.929133858267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left="-566.929133858267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KLIENDIJUHTUMI ANALÜÜS </w:t>
      </w:r>
      <w:r w:rsidDel="00000000" w:rsidR="00000000" w:rsidRPr="00000000">
        <w:rPr>
          <w:b w:val="1"/>
          <w:sz w:val="24"/>
          <w:szCs w:val="24"/>
          <w:rtl w:val="0"/>
        </w:rPr>
        <w:t xml:space="preserve">(kuni 4000 tähemärki*)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i w:val="1"/>
          <w:rtl w:val="0"/>
        </w:rPr>
        <w:t xml:space="preserve">üle 4000 tähemärgiga analüüsis lähevad lugemisele esimesed 4000 tähemärki.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-566.9291338582677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6.9291338582677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Kirjelda siin olulisi punkte läbiviidud ja hindamiseks esitatud nõustamise osas. Kirjeldada saad ka asjaolusid nende kompetentside kohta, mis s</w:t>
      </w:r>
      <w:r w:rsidDel="00000000" w:rsidR="00000000" w:rsidRPr="00000000">
        <w:rPr>
          <w:i w:val="1"/>
          <w:sz w:val="24"/>
          <w:szCs w:val="24"/>
          <w:rtl w:val="0"/>
        </w:rPr>
        <w:t xml:space="preserve">eonduvad antud juhtumiga,</w:t>
      </w:r>
      <w:r w:rsidDel="00000000" w:rsidR="00000000" w:rsidRPr="00000000">
        <w:rPr>
          <w:i w:val="1"/>
          <w:sz w:val="24"/>
          <w:szCs w:val="24"/>
          <w:rtl w:val="0"/>
        </w:rPr>
        <w:t xml:space="preserve"> kuid videos ei avaldunud. Samuti on siin võimalik välja tuua neid kohti, mis ebaõnnestusid ja analüüsida, kuidas sarnaseid olukordi tulevikus vältida või teisiti teha.</w:t>
      </w:r>
    </w:p>
    <w:p w:rsidR="00000000" w:rsidDel="00000000" w:rsidP="00000000" w:rsidRDefault="00000000" w:rsidRPr="00000000" w14:paraId="00000016">
      <w:pPr>
        <w:ind w:left="-566.9291338582677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6.9291338582677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Kirjuta võimalikult konkreetselt, kontsentreeritult ja selgelt. </w:t>
      </w:r>
    </w:p>
    <w:p w:rsidR="00000000" w:rsidDel="00000000" w:rsidP="00000000" w:rsidRDefault="00000000" w:rsidRPr="00000000" w14:paraId="00000018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Kutset tõendavate kompetentsidega saad tutvuda järgnevatel linkidel:</w:t>
      </w:r>
    </w:p>
    <w:p w:rsidR="00000000" w:rsidDel="00000000" w:rsidP="00000000" w:rsidRDefault="00000000" w:rsidRPr="00000000" w14:paraId="0000001B">
      <w:pPr>
        <w:ind w:left="-566.9291338582677" w:firstLine="0"/>
        <w:jc w:val="both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Toitumisnõustaja, tase 5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6.9291338582677" w:firstLine="0"/>
        <w:jc w:val="both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Toitumisteraeput, tase 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6.929133858267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ind w:left="-566.9291338582677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Kuupäev: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  <w:br w:type="textWrapping"/>
        <w:t xml:space="preserve">/Allkirjastatud digitaalselt/ </w:t>
        <w:br w:type="textWrapping"/>
        <w:t xml:space="preserve">(ees- ja perekonnanimi)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80" w:hanging="108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080" w:hanging="108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80" w:hanging="108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080" w:hanging="108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line="276" w:lineRule="auto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80" w:hanging="108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080" w:hanging="108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360" w:hanging="36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80" w:hanging="108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080" w:hanging="108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kutseregister.ee/ctrl/et/Standardid/vaata/11197965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kutseregister.ee/ctrl/et/Standardid/vaata/1119793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05ZP7VY7+huCuqqJNXUpPqdHw==">CgMxLjA4AHIhMTlOdU14UE5ELWVPMnNSTFVyTFc2eV9VeUEwZFlsc2hV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